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E5B7" w14:textId="678F7906" w:rsidR="000E21D9" w:rsidRDefault="00A915F4" w:rsidP="00A915F4">
      <w:pPr>
        <w:keepNext/>
        <w:spacing w:line="240" w:lineRule="auto"/>
      </w:pPr>
      <w:r>
        <w:rPr>
          <w:sz w:val="28"/>
        </w:rPr>
        <w:t xml:space="preserve">                                                                    </w:t>
      </w:r>
      <w:r w:rsidR="000E21D9">
        <w:rPr>
          <w:sz w:val="28"/>
        </w:rPr>
        <w:t>Bilješka 1.</w:t>
      </w:r>
    </w:p>
    <w:p w14:paraId="4D4BA82F" w14:textId="6A65B431" w:rsidR="004D1C22" w:rsidRDefault="004D1C22" w:rsidP="004D1C22">
      <w:r>
        <w:t xml:space="preserve">U financijskom izvještaju za promatrano razdoblje evidentiran je metodološki manjak u iznosu od </w:t>
      </w:r>
      <w:r w:rsidR="00D03124">
        <w:t>1</w:t>
      </w:r>
      <w:r>
        <w:t>6.</w:t>
      </w:r>
      <w:r w:rsidR="00D03124">
        <w:t>581,53</w:t>
      </w:r>
      <w:r>
        <w:t xml:space="preserve"> eura, koji je nastao kao posljedica promjene načina evidentiranja i klasifikacije pojedinih poslovnih događaja u odnosu na prethodno razdoblje</w:t>
      </w:r>
    </w:p>
    <w:p w14:paraId="6A7FED6F" w14:textId="77777777" w:rsidR="004D1C22" w:rsidRDefault="004D1C22" w:rsidP="004D1C22">
      <w:r>
        <w:t>Tijekom izvještajnog razdoblja ustanova je prešla na poslovanje u okviru sustava Riznice Grada Dubrovnika te je došlo do promjene metodologije evidentiranja poslovnih događaja, što je utjecalo na vremensko priznavanje prihoda i rashoda -  rashodi kod kojih je kod korisnika nastao manjak prihoda su evidentirani u izvještajnom razdoblju, a prihodi će biti evidentirani tek u trenutku kada se s računa proračuna podmire obveze proračunskog korisnika prema njegovim dobavljačima.</w:t>
      </w:r>
    </w:p>
    <w:p w14:paraId="710C0EF6" w14:textId="2C6A3D6C" w:rsidR="004D1C22" w:rsidRDefault="004D1C22">
      <w:r>
        <w:t>Manjak nije posljedica smanjenja stvarne poslovne aktivnosti, već isključivo metodološke prilagodbe u obračunu i evidentiranju prihoda/rashoda proračunskog korisnika i nadležnog proračuna.</w:t>
      </w:r>
    </w:p>
    <w:p w14:paraId="7C3A2C9C" w14:textId="44E637F5" w:rsidR="004D1C22" w:rsidRDefault="000E21D9" w:rsidP="000E21D9">
      <w:pPr>
        <w:keepNext/>
        <w:spacing w:line="240" w:lineRule="auto"/>
        <w:jc w:val="center"/>
      </w:pPr>
      <w:r>
        <w:rPr>
          <w:sz w:val="28"/>
        </w:rPr>
        <w:t>Bilješka 2.</w:t>
      </w:r>
    </w:p>
    <w:p w14:paraId="2A9F2F77" w14:textId="77777777" w:rsidR="000E21D9" w:rsidRDefault="000E21D9" w:rsidP="000E21D9">
      <w:pPr>
        <w:spacing w:after="0"/>
      </w:pPr>
      <w:r>
        <w:t>63612-</w:t>
      </w:r>
    </w:p>
    <w:p w14:paraId="37ECAA3E" w14:textId="77777777" w:rsidR="000E21D9" w:rsidRDefault="000E21D9" w:rsidP="000E21D9">
      <w:r>
        <w:t>Odnose se na prihode Ministarstva kulture za financiranje programa muzejske djelatnosti: Edukativne radionice</w:t>
      </w:r>
    </w:p>
    <w:p w14:paraId="75D61157" w14:textId="28A17F88" w:rsidR="000E21D9" w:rsidRDefault="00A915F4" w:rsidP="00A915F4">
      <w:pPr>
        <w:keepNext/>
        <w:spacing w:line="240" w:lineRule="auto"/>
      </w:pPr>
      <w:r>
        <w:rPr>
          <w:sz w:val="28"/>
        </w:rPr>
        <w:t xml:space="preserve">                                                                  </w:t>
      </w:r>
      <w:r w:rsidR="000E21D9">
        <w:rPr>
          <w:sz w:val="28"/>
        </w:rPr>
        <w:t>Bilješka 3.</w:t>
      </w:r>
    </w:p>
    <w:p w14:paraId="021C68F3" w14:textId="77777777" w:rsidR="000E21D9" w:rsidRDefault="000E21D9" w:rsidP="000E21D9">
      <w:r>
        <w:t>31-Bilježe povećanje zbog povećanja osnovice za obračun plaće, kao i povečanje koeficijenta djelatnice te  zbog  jubilarnih nagrada, a tih izdataka nije bilo u 2025. godini.</w:t>
      </w:r>
    </w:p>
    <w:p w14:paraId="614B6F0C" w14:textId="56A64F8F" w:rsidR="00542D4E" w:rsidRDefault="00542D4E" w:rsidP="000E21D9">
      <w:r>
        <w:rPr>
          <w:sz w:val="28"/>
        </w:rPr>
        <w:t xml:space="preserve">                                                                    Bilješka 4.</w:t>
      </w:r>
    </w:p>
    <w:p w14:paraId="38F1D405" w14:textId="65159740" w:rsidR="00E82936" w:rsidRDefault="000E21D9" w:rsidP="000E21D9">
      <w:r w:rsidRPr="00E82936">
        <w:rPr>
          <w:b/>
          <w:bCs/>
        </w:rPr>
        <w:t>322</w:t>
      </w:r>
      <w:r>
        <w:t xml:space="preserve">25-Sitan inventar </w:t>
      </w:r>
      <w:r w:rsidR="00542D4E">
        <w:t>bilježe povećanje u odnosu na prošlo razdoblje  zbog kupnje usisavača kod dobavljača Fliba, Duran d.d zbog kupnje posuda za organe za programsku djelatnost“ Prikupljanja zbirke riba“, Almel dobavljača zbog nabavke dijelova za nadzornu kameru te Tepih centra-izrada tapita sa logom od muzeja.</w:t>
      </w:r>
    </w:p>
    <w:p w14:paraId="4F077C39" w14:textId="5520E091" w:rsidR="00E82936" w:rsidRDefault="00E82936" w:rsidP="00E82936">
      <w:pPr>
        <w:keepNext/>
        <w:spacing w:line="240" w:lineRule="auto"/>
        <w:jc w:val="center"/>
      </w:pPr>
      <w:r>
        <w:rPr>
          <w:sz w:val="28"/>
        </w:rPr>
        <w:t>Bilješka 5.</w:t>
      </w:r>
    </w:p>
    <w:p w14:paraId="02717929" w14:textId="5600504E" w:rsidR="00E82936" w:rsidRDefault="00E82936" w:rsidP="000E21D9">
      <w:r w:rsidRPr="00E82936">
        <w:rPr>
          <w:b/>
          <w:bCs/>
        </w:rPr>
        <w:t>323</w:t>
      </w:r>
      <w:r>
        <w:t>10-Povecanje usluge telefona interneta pošte i prevoza na kontu zbog izložbe Priroda i tehnika te računa Holik prevoza od 3.250 i T-bone steak 2.062,50 također za potrebe izložbe prijevoza Priroda i tehnika.</w:t>
      </w:r>
    </w:p>
    <w:p w14:paraId="3C53AE05" w14:textId="4276B178" w:rsidR="00A915F4" w:rsidRDefault="00A915F4" w:rsidP="000E21D9">
      <w:r>
        <w:rPr>
          <w:sz w:val="28"/>
        </w:rPr>
        <w:t xml:space="preserve">                                                                    Bilješka </w:t>
      </w:r>
      <w:r w:rsidR="00E82936">
        <w:rPr>
          <w:sz w:val="28"/>
        </w:rPr>
        <w:t>6</w:t>
      </w:r>
      <w:r>
        <w:rPr>
          <w:sz w:val="28"/>
        </w:rPr>
        <w:t>.</w:t>
      </w:r>
    </w:p>
    <w:p w14:paraId="6B15D047" w14:textId="49A23491" w:rsidR="00A915F4" w:rsidRDefault="00A915F4" w:rsidP="000E21D9">
      <w:r w:rsidRPr="00E82936">
        <w:rPr>
          <w:b/>
          <w:bCs/>
        </w:rPr>
        <w:t>329</w:t>
      </w:r>
      <w:r>
        <w:t>3-</w:t>
      </w:r>
      <w:r w:rsidRPr="00A915F4">
        <w:t xml:space="preserve"> </w:t>
      </w:r>
      <w:r>
        <w:t>bilježe povećanje u odnosu na prošlo razdoblje  zbog programa razmus + i gostovanja izložbe .Zbog većeg opsega nastalih troškova tijekom izvještajnog razdoblja dobavljača Mali Dubrovnik i Lokalno j.d.o.o.</w:t>
      </w:r>
    </w:p>
    <w:p w14:paraId="0B6A250F" w14:textId="77777777" w:rsidR="000E21D9" w:rsidRDefault="000E21D9" w:rsidP="000E21D9"/>
    <w:p w14:paraId="1260E9B4" w14:textId="2D3AEA4C" w:rsidR="004A6F2B" w:rsidRPr="004A6F2B" w:rsidRDefault="004A6F2B" w:rsidP="00A60948">
      <w:pPr>
        <w:keepNext/>
        <w:spacing w:line="240" w:lineRule="auto"/>
        <w:jc w:val="center"/>
        <w:rPr>
          <w:b/>
          <w:bCs/>
          <w:sz w:val="28"/>
        </w:rPr>
      </w:pPr>
      <w:r w:rsidRPr="004A6F2B">
        <w:rPr>
          <w:b/>
          <w:bCs/>
          <w:sz w:val="28"/>
        </w:rPr>
        <w:lastRenderedPageBreak/>
        <w:t>Izvještaj o obvezama</w:t>
      </w:r>
    </w:p>
    <w:p w14:paraId="298A16AF" w14:textId="3A9572C6" w:rsidR="00A60948" w:rsidRDefault="00A60948" w:rsidP="00A60948">
      <w:pPr>
        <w:keepNext/>
        <w:spacing w:line="240" w:lineRule="auto"/>
        <w:jc w:val="center"/>
      </w:pPr>
      <w:r>
        <w:rPr>
          <w:sz w:val="28"/>
        </w:rPr>
        <w:t>Bilješka 7.</w:t>
      </w:r>
    </w:p>
    <w:p w14:paraId="6D49E0D4" w14:textId="77777777" w:rsidR="00A60948" w:rsidRDefault="00A60948" w:rsidP="00A60948"/>
    <w:p w14:paraId="3C38B9F0" w14:textId="77777777" w:rsidR="00E82936" w:rsidRDefault="00E82936" w:rsidP="00E82936">
      <w:r>
        <w:t>Nema dospjelih obveza na kraju izvještajnog razdoblja jer nema evidentiranih a nepodmirenih obveza.</w:t>
      </w:r>
    </w:p>
    <w:p w14:paraId="2A93AF24" w14:textId="285DAD65" w:rsidR="00E82936" w:rsidRDefault="00E82936" w:rsidP="00E82936">
      <w:pPr>
        <w:keepNext/>
        <w:spacing w:line="240" w:lineRule="auto"/>
        <w:jc w:val="center"/>
        <w:rPr>
          <w:sz w:val="28"/>
        </w:rPr>
      </w:pPr>
      <w:r>
        <w:rPr>
          <w:sz w:val="28"/>
        </w:rPr>
        <w:t>Bilješka 8.</w:t>
      </w:r>
    </w:p>
    <w:p w14:paraId="07301643" w14:textId="77777777" w:rsidR="00E82936" w:rsidRDefault="00E82936" w:rsidP="00E82936">
      <w:pPr>
        <w:keepNext/>
        <w:spacing w:line="240" w:lineRule="auto"/>
        <w:jc w:val="center"/>
        <w:rPr>
          <w:sz w:val="28"/>
        </w:rPr>
      </w:pPr>
    </w:p>
    <w:p w14:paraId="610637E6" w14:textId="1532F811" w:rsidR="00E82936" w:rsidRPr="00E82936" w:rsidRDefault="00E82936" w:rsidP="00E82936">
      <w:pPr>
        <w:keepNext/>
        <w:spacing w:line="240" w:lineRule="auto"/>
        <w:jc w:val="center"/>
      </w:pPr>
      <w:r w:rsidRPr="00E82936">
        <w:t>Međusobne opće obaveze subjekata općeg Proračuna iznose 156,00€ ostvarene za ulaznice u muzejskoj ustanovi</w:t>
      </w:r>
      <w:r w:rsidR="008C6975">
        <w:t>, te će biti isplaćene u srpnju.</w:t>
      </w:r>
    </w:p>
    <w:p w14:paraId="67420234" w14:textId="77777777" w:rsidR="00E82936" w:rsidRPr="00E82936" w:rsidRDefault="00E82936" w:rsidP="00E82936"/>
    <w:p w14:paraId="155CF0AF" w14:textId="77777777" w:rsidR="00A60948" w:rsidRDefault="00A60948" w:rsidP="00A60948"/>
    <w:p w14:paraId="654CB624" w14:textId="1E85F38D" w:rsidR="00E82936" w:rsidRDefault="00E82936" w:rsidP="00E82936">
      <w:pPr>
        <w:keepNext/>
        <w:spacing w:line="240" w:lineRule="auto"/>
        <w:jc w:val="center"/>
      </w:pPr>
    </w:p>
    <w:p w14:paraId="4917C321" w14:textId="77777777" w:rsidR="00E82936" w:rsidRDefault="00E82936" w:rsidP="00A60948"/>
    <w:p w14:paraId="5E752B8B" w14:textId="77777777" w:rsidR="00A60948" w:rsidRDefault="00A60948" w:rsidP="00A60948"/>
    <w:p w14:paraId="7606536A" w14:textId="77777777" w:rsidR="0040046E" w:rsidRDefault="0040046E"/>
    <w:sectPr w:rsidR="004004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CAAAE" w14:textId="77777777" w:rsidR="00AD2484" w:rsidRDefault="00AD2484" w:rsidP="000E21D9">
      <w:pPr>
        <w:spacing w:after="0" w:line="240" w:lineRule="auto"/>
      </w:pPr>
      <w:r>
        <w:separator/>
      </w:r>
    </w:p>
  </w:endnote>
  <w:endnote w:type="continuationSeparator" w:id="0">
    <w:p w14:paraId="4FB865EF" w14:textId="77777777" w:rsidR="00AD2484" w:rsidRDefault="00AD2484" w:rsidP="000E2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718CA" w14:textId="77777777" w:rsidR="00AD2484" w:rsidRDefault="00AD2484" w:rsidP="000E21D9">
      <w:pPr>
        <w:spacing w:after="0" w:line="240" w:lineRule="auto"/>
      </w:pPr>
      <w:r>
        <w:separator/>
      </w:r>
    </w:p>
  </w:footnote>
  <w:footnote w:type="continuationSeparator" w:id="0">
    <w:p w14:paraId="31123E4F" w14:textId="77777777" w:rsidR="00AD2484" w:rsidRDefault="00AD2484" w:rsidP="000E21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46E"/>
    <w:rsid w:val="00041581"/>
    <w:rsid w:val="00091B64"/>
    <w:rsid w:val="000D6A8D"/>
    <w:rsid w:val="000E21D9"/>
    <w:rsid w:val="00136D02"/>
    <w:rsid w:val="0040046E"/>
    <w:rsid w:val="004A6F2B"/>
    <w:rsid w:val="004D1C22"/>
    <w:rsid w:val="00542D4E"/>
    <w:rsid w:val="00617067"/>
    <w:rsid w:val="008C6975"/>
    <w:rsid w:val="008F1020"/>
    <w:rsid w:val="009A49FC"/>
    <w:rsid w:val="00A60948"/>
    <w:rsid w:val="00A915F4"/>
    <w:rsid w:val="00AD2484"/>
    <w:rsid w:val="00B652D3"/>
    <w:rsid w:val="00BD7A5E"/>
    <w:rsid w:val="00D03124"/>
    <w:rsid w:val="00D54E02"/>
    <w:rsid w:val="00E715BA"/>
    <w:rsid w:val="00E76426"/>
    <w:rsid w:val="00E829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E6CCC"/>
  <w15:chartTrackingRefBased/>
  <w15:docId w15:val="{BE105545-4C7F-4FAD-ACFD-0A863553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00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400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40046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40046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0046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0046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0046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0046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0046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0046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0046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0046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0046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0046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0046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0046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0046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0046E"/>
    <w:rPr>
      <w:rFonts w:eastAsiaTheme="majorEastAsia" w:cstheme="majorBidi"/>
      <w:color w:val="272727" w:themeColor="text1" w:themeTint="D8"/>
    </w:rPr>
  </w:style>
  <w:style w:type="paragraph" w:styleId="Naslov">
    <w:name w:val="Title"/>
    <w:basedOn w:val="Normal"/>
    <w:next w:val="Normal"/>
    <w:link w:val="NaslovChar"/>
    <w:uiPriority w:val="10"/>
    <w:qFormat/>
    <w:rsid w:val="00400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0046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0046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0046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0046E"/>
    <w:pPr>
      <w:spacing w:before="160"/>
      <w:jc w:val="center"/>
    </w:pPr>
    <w:rPr>
      <w:i/>
      <w:iCs/>
      <w:color w:val="404040" w:themeColor="text1" w:themeTint="BF"/>
    </w:rPr>
  </w:style>
  <w:style w:type="character" w:customStyle="1" w:styleId="CitatChar">
    <w:name w:val="Citat Char"/>
    <w:basedOn w:val="Zadanifontodlomka"/>
    <w:link w:val="Citat"/>
    <w:uiPriority w:val="29"/>
    <w:rsid w:val="0040046E"/>
    <w:rPr>
      <w:i/>
      <w:iCs/>
      <w:color w:val="404040" w:themeColor="text1" w:themeTint="BF"/>
    </w:rPr>
  </w:style>
  <w:style w:type="paragraph" w:styleId="Odlomakpopisa">
    <w:name w:val="List Paragraph"/>
    <w:basedOn w:val="Normal"/>
    <w:uiPriority w:val="34"/>
    <w:qFormat/>
    <w:rsid w:val="0040046E"/>
    <w:pPr>
      <w:ind w:left="720"/>
      <w:contextualSpacing/>
    </w:pPr>
  </w:style>
  <w:style w:type="character" w:styleId="Jakoisticanje">
    <w:name w:val="Intense Emphasis"/>
    <w:basedOn w:val="Zadanifontodlomka"/>
    <w:uiPriority w:val="21"/>
    <w:qFormat/>
    <w:rsid w:val="0040046E"/>
    <w:rPr>
      <w:i/>
      <w:iCs/>
      <w:color w:val="0F4761" w:themeColor="accent1" w:themeShade="BF"/>
    </w:rPr>
  </w:style>
  <w:style w:type="paragraph" w:styleId="Naglaencitat">
    <w:name w:val="Intense Quote"/>
    <w:basedOn w:val="Normal"/>
    <w:next w:val="Normal"/>
    <w:link w:val="NaglaencitatChar"/>
    <w:uiPriority w:val="30"/>
    <w:qFormat/>
    <w:rsid w:val="00400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0046E"/>
    <w:rPr>
      <w:i/>
      <w:iCs/>
      <w:color w:val="0F4761" w:themeColor="accent1" w:themeShade="BF"/>
    </w:rPr>
  </w:style>
  <w:style w:type="character" w:styleId="Istaknutareferenca">
    <w:name w:val="Intense Reference"/>
    <w:basedOn w:val="Zadanifontodlomka"/>
    <w:uiPriority w:val="32"/>
    <w:qFormat/>
    <w:rsid w:val="0040046E"/>
    <w:rPr>
      <w:b/>
      <w:bCs/>
      <w:smallCaps/>
      <w:color w:val="0F4761" w:themeColor="accent1" w:themeShade="BF"/>
      <w:spacing w:val="5"/>
    </w:rPr>
  </w:style>
  <w:style w:type="paragraph" w:styleId="Zaglavlje">
    <w:name w:val="header"/>
    <w:basedOn w:val="Normal"/>
    <w:link w:val="ZaglavljeChar"/>
    <w:uiPriority w:val="99"/>
    <w:unhideWhenUsed/>
    <w:rsid w:val="000E21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E21D9"/>
  </w:style>
  <w:style w:type="paragraph" w:styleId="Podnoje">
    <w:name w:val="footer"/>
    <w:basedOn w:val="Normal"/>
    <w:link w:val="PodnojeChar"/>
    <w:uiPriority w:val="99"/>
    <w:unhideWhenUsed/>
    <w:rsid w:val="000E21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E2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384</Words>
  <Characters>2193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Ivona Lešević</dc:creator>
  <cp:keywords/>
  <dc:description/>
  <cp:lastModifiedBy>Ivona Lešević</cp:lastModifiedBy>
  <cp:revision>4</cp:revision>
  <dcterms:created xsi:type="dcterms:W3CDTF">2026-07-10T09:01:00Z</dcterms:created>
  <dcterms:modified xsi:type="dcterms:W3CDTF">2026-07-31T11:29:00Z</dcterms:modified>
</cp:coreProperties>
</file>